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C6" w:rsidRPr="002D2D9A" w:rsidRDefault="001F499C">
      <w:pPr>
        <w:autoSpaceDE w:val="0"/>
        <w:autoSpaceDN w:val="0"/>
        <w:adjustRightInd w:val="0"/>
        <w:spacing w:line="225" w:lineRule="atLeast"/>
        <w:ind w:left="1" w:firstLine="1"/>
        <w:jc w:val="center"/>
        <w:rPr>
          <w:rFonts w:eastAsia="標楷體"/>
          <w:color w:val="000000" w:themeColor="text1"/>
          <w:kern w:val="0"/>
          <w:sz w:val="40"/>
          <w:szCs w:val="18"/>
        </w:rPr>
      </w:pPr>
      <w:r>
        <w:rPr>
          <w:rFonts w:eastAsia="標楷體"/>
          <w:noProof/>
          <w:color w:val="000000" w:themeColor="text1"/>
          <w:kern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-685800</wp:posOffset>
                </wp:positionV>
                <wp:extent cx="35433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C6" w:rsidRDefault="00ED43C6">
                            <w:pPr>
                              <w:rPr>
                                <w:rFonts w:ascii="細明體" w:eastAsia="細明體"/>
                                <w:b/>
                                <w:bCs/>
                                <w:color w:val="000000"/>
                                <w:kern w:val="0"/>
                                <w:szCs w:val="18"/>
                              </w:rPr>
                            </w:pPr>
                            <w:bookmarkStart w:id="0" w:name="空白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54pt;width:27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" stroked="f">
                <v:textbox>
                  <w:txbxContent>
                    <w:p w:rsidR="00ED43C6" w:rsidRDefault="00ED43C6">
                      <w:pPr>
                        <w:rPr>
                          <w:rFonts w:ascii="細明體" w:eastAsia="細明體"/>
                          <w:b/>
                          <w:bCs/>
                          <w:color w:val="000000"/>
                          <w:kern w:val="0"/>
                          <w:szCs w:val="18"/>
                        </w:rPr>
                      </w:pPr>
                      <w:bookmarkStart w:id="1" w:name="空白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D43C6" w:rsidRPr="002D2D9A">
        <w:rPr>
          <w:rFonts w:eastAsia="標楷體"/>
          <w:color w:val="000000" w:themeColor="text1"/>
          <w:kern w:val="0"/>
          <w:sz w:val="40"/>
          <w:szCs w:val="18"/>
        </w:rPr>
        <w:t>法務部行政執行署</w:t>
      </w:r>
      <w:bookmarkStart w:id="1" w:name="處"/>
      <w:r w:rsidR="00E06553" w:rsidRPr="002D2D9A">
        <w:rPr>
          <w:rFonts w:eastAsia="標楷體"/>
          <w:color w:val="000000" w:themeColor="text1"/>
          <w:kern w:val="0"/>
          <w:sz w:val="40"/>
          <w:szCs w:val="18"/>
        </w:rPr>
        <w:t>新北</w:t>
      </w:r>
      <w:bookmarkEnd w:id="1"/>
      <w:r w:rsidR="00841698" w:rsidRPr="002D2D9A">
        <w:rPr>
          <w:rFonts w:eastAsia="標楷體"/>
          <w:color w:val="000000" w:themeColor="text1"/>
          <w:kern w:val="0"/>
          <w:sz w:val="40"/>
          <w:szCs w:val="18"/>
        </w:rPr>
        <w:t>分署</w:t>
      </w:r>
      <w:r w:rsidR="00ED43C6" w:rsidRPr="002D2D9A">
        <w:rPr>
          <w:rFonts w:eastAsia="標楷體"/>
          <w:color w:val="000000" w:themeColor="text1"/>
          <w:kern w:val="0"/>
          <w:sz w:val="40"/>
          <w:szCs w:val="18"/>
        </w:rPr>
        <w:t>公告</w:t>
      </w:r>
      <w:r w:rsidR="00ED43C6" w:rsidRPr="002D2D9A">
        <w:rPr>
          <w:rFonts w:eastAsia="標楷體"/>
          <w:color w:val="000000" w:themeColor="text1"/>
          <w:kern w:val="0"/>
          <w:sz w:val="36"/>
          <w:szCs w:val="18"/>
        </w:rPr>
        <w:t>(</w:t>
      </w:r>
      <w:r w:rsidR="00ED43C6" w:rsidRPr="002D2D9A">
        <w:rPr>
          <w:rFonts w:eastAsia="標楷體"/>
          <w:color w:val="000000" w:themeColor="text1"/>
          <w:kern w:val="0"/>
          <w:sz w:val="36"/>
          <w:szCs w:val="18"/>
        </w:rPr>
        <w:t>第</w:t>
      </w:r>
      <w:r w:rsidR="002D2D9A" w:rsidRPr="002D2D9A">
        <w:rPr>
          <w:rFonts w:eastAsia="標楷體"/>
          <w:color w:val="000000" w:themeColor="text1"/>
          <w:kern w:val="0"/>
          <w:sz w:val="36"/>
          <w:szCs w:val="18"/>
        </w:rPr>
        <w:t>1</w:t>
      </w:r>
      <w:r w:rsidR="00ED43C6" w:rsidRPr="002D2D9A">
        <w:rPr>
          <w:rFonts w:eastAsia="標楷體"/>
          <w:color w:val="000000" w:themeColor="text1"/>
          <w:kern w:val="0"/>
          <w:sz w:val="36"/>
          <w:szCs w:val="18"/>
        </w:rPr>
        <w:t>次拍賣</w:t>
      </w:r>
      <w:r w:rsidR="00ED43C6" w:rsidRPr="002D2D9A">
        <w:rPr>
          <w:rFonts w:eastAsia="標楷體"/>
          <w:color w:val="000000" w:themeColor="text1"/>
          <w:kern w:val="0"/>
          <w:sz w:val="36"/>
          <w:szCs w:val="18"/>
        </w:rPr>
        <w:t>)</w:t>
      </w:r>
    </w:p>
    <w:p w:rsidR="007C6DE5" w:rsidRPr="00414906" w:rsidRDefault="007C6DE5" w:rsidP="007B2370">
      <w:pPr>
        <w:snapToGrid w:val="0"/>
        <w:spacing w:beforeLines="50" w:before="180" w:line="280" w:lineRule="exact"/>
        <w:ind w:firstLineChars="1653" w:firstLine="3967"/>
        <w:rPr>
          <w:rFonts w:ascii="標楷體" w:eastAsia="標楷體" w:hAnsi="標楷體"/>
          <w:color w:val="000000"/>
          <w:kern w:val="0"/>
          <w:szCs w:val="18"/>
        </w:rPr>
      </w:pPr>
      <w:r w:rsidRPr="00414906">
        <w:rPr>
          <w:rFonts w:ascii="標楷體" w:eastAsia="標楷體" w:hAnsi="標楷體" w:hint="eastAsia"/>
          <w:color w:val="000000"/>
          <w:kern w:val="0"/>
          <w:szCs w:val="18"/>
        </w:rPr>
        <w:t>機關地址：</w:t>
      </w:r>
      <w:bookmarkStart w:id="2" w:name="機關地址"/>
      <w:r>
        <w:rPr>
          <w:rFonts w:ascii="標楷體" w:eastAsia="標楷體" w:hAnsi="標楷體" w:hint="eastAsia"/>
          <w:color w:val="000000"/>
          <w:kern w:val="0"/>
          <w:szCs w:val="18"/>
        </w:rPr>
        <w:t>新北市新莊區中平路439號北棟12樓</w:t>
      </w:r>
      <w:bookmarkEnd w:id="2"/>
    </w:p>
    <w:p w:rsidR="007C6DE5" w:rsidRPr="00414906" w:rsidRDefault="007C6DE5" w:rsidP="007B2370">
      <w:pPr>
        <w:snapToGrid w:val="0"/>
        <w:ind w:firstLineChars="1653" w:firstLine="3967"/>
        <w:rPr>
          <w:rFonts w:ascii="標楷體" w:eastAsia="標楷體" w:hAnsi="標楷體"/>
        </w:rPr>
      </w:pPr>
      <w:r w:rsidRPr="00414906">
        <w:rPr>
          <w:rFonts w:ascii="標楷體" w:eastAsia="標楷體" w:hAnsi="標楷體" w:hint="eastAsia"/>
        </w:rPr>
        <w:t>傳    真：</w:t>
      </w:r>
      <w:bookmarkStart w:id="3" w:name="傳真"/>
      <w:r>
        <w:rPr>
          <w:rFonts w:ascii="標楷體" w:eastAsia="標楷體" w:hAnsi="標楷體" w:hint="eastAsia"/>
        </w:rPr>
        <w:t>(02)89956940</w:t>
      </w:r>
      <w:bookmarkEnd w:id="3"/>
    </w:p>
    <w:p w:rsidR="00ED43C6" w:rsidRDefault="00ED43C6">
      <w:pPr>
        <w:snapToGrid w:val="0"/>
        <w:spacing w:line="280" w:lineRule="exact"/>
        <w:rPr>
          <w:rFonts w:ascii="標楷體" w:eastAsia="標楷體"/>
          <w:color w:val="000000"/>
          <w:kern w:val="0"/>
          <w:szCs w:val="18"/>
        </w:rPr>
      </w:pPr>
      <w:r>
        <w:rPr>
          <w:rFonts w:ascii="標楷體" w:eastAsia="標楷體" w:hint="eastAsia"/>
          <w:color w:val="000000"/>
          <w:kern w:val="0"/>
          <w:szCs w:val="18"/>
        </w:rPr>
        <w:t>發文日期：</w:t>
      </w:r>
      <w:r w:rsidR="002D2D9A">
        <w:rPr>
          <w:rFonts w:ascii="標楷體" w:eastAsia="標楷體"/>
          <w:color w:val="000000"/>
          <w:kern w:val="0"/>
          <w:szCs w:val="18"/>
        </w:rPr>
        <w:t xml:space="preserve"> </w:t>
      </w:r>
    </w:p>
    <w:p w:rsidR="00ED43C6" w:rsidRDefault="00ED43C6">
      <w:pPr>
        <w:snapToGrid w:val="0"/>
        <w:spacing w:line="280" w:lineRule="exact"/>
        <w:rPr>
          <w:rFonts w:ascii="標楷體" w:eastAsia="標楷體"/>
          <w:color w:val="000000"/>
          <w:kern w:val="0"/>
          <w:szCs w:val="18"/>
        </w:rPr>
      </w:pPr>
      <w:r>
        <w:rPr>
          <w:rFonts w:ascii="標楷體" w:eastAsia="標楷體" w:hint="eastAsia"/>
          <w:color w:val="000000"/>
          <w:kern w:val="0"/>
          <w:szCs w:val="18"/>
        </w:rPr>
        <w:t>發文字號：</w:t>
      </w:r>
      <w:bookmarkStart w:id="4" w:name="發文字號"/>
      <w:r>
        <w:rPr>
          <w:rFonts w:ascii="標楷體" w:eastAsia="標楷體" w:hint="eastAsia"/>
          <w:color w:val="000000"/>
          <w:kern w:val="0"/>
          <w:szCs w:val="18"/>
        </w:rPr>
        <w:t>新北執仁100年營所稅執字第00196661號</w:t>
      </w:r>
      <w:bookmarkEnd w:id="4"/>
    </w:p>
    <w:p w:rsidR="00ED43C6" w:rsidRDefault="00ED43C6">
      <w:pPr>
        <w:snapToGrid w:val="0"/>
        <w:spacing w:line="280" w:lineRule="exact"/>
        <w:rPr>
          <w:rFonts w:ascii="細明體" w:eastAsia="細明體"/>
          <w:color w:val="000000"/>
          <w:kern w:val="0"/>
          <w:sz w:val="18"/>
          <w:szCs w:val="18"/>
        </w:rPr>
      </w:pPr>
      <w:r>
        <w:rPr>
          <w:rFonts w:ascii="標楷體" w:eastAsia="標楷體" w:hint="eastAsia"/>
          <w:color w:val="000000"/>
          <w:kern w:val="0"/>
          <w:szCs w:val="18"/>
        </w:rPr>
        <w:t>附件：動產目錄一份</w:t>
      </w:r>
    </w:p>
    <w:p w:rsidR="00ED43C6" w:rsidRDefault="00ED43C6">
      <w:pPr>
        <w:snapToGrid w:val="0"/>
        <w:spacing w:line="500" w:lineRule="exact"/>
        <w:ind w:leftChars="1" w:left="960" w:hanging="958"/>
        <w:rPr>
          <w:rFonts w:ascii="標楷體" w:eastAsia="標楷體"/>
          <w:color w:val="000000"/>
          <w:kern w:val="0"/>
          <w:sz w:val="32"/>
          <w:szCs w:val="18"/>
        </w:rPr>
      </w:pPr>
      <w:r>
        <w:rPr>
          <w:rFonts w:ascii="標楷體" w:eastAsia="標楷體" w:hint="eastAsia"/>
          <w:color w:val="000000"/>
          <w:kern w:val="0"/>
          <w:sz w:val="32"/>
          <w:szCs w:val="18"/>
        </w:rPr>
        <w:t>主旨：公告拍賣本</w:t>
      </w:r>
      <w:r w:rsidR="00841698">
        <w:rPr>
          <w:rFonts w:ascii="標楷體" w:eastAsia="標楷體" w:hint="eastAsia"/>
          <w:color w:val="000000"/>
          <w:kern w:val="0"/>
          <w:sz w:val="32"/>
          <w:szCs w:val="18"/>
        </w:rPr>
        <w:t>分署</w:t>
      </w:r>
      <w:bookmarkStart w:id="5" w:name="案號"/>
      <w:r>
        <w:rPr>
          <w:rFonts w:ascii="標楷體" w:eastAsia="標楷體" w:hint="eastAsia"/>
          <w:color w:val="000000"/>
          <w:kern w:val="0"/>
          <w:sz w:val="32"/>
          <w:szCs w:val="18"/>
        </w:rPr>
        <w:t>100年度營所稅執字第196661號等</w:t>
      </w:r>
      <w:bookmarkEnd w:id="5"/>
      <w:r>
        <w:rPr>
          <w:rFonts w:ascii="標楷體" w:eastAsia="標楷體" w:hint="eastAsia"/>
          <w:color w:val="000000"/>
          <w:kern w:val="0"/>
          <w:sz w:val="32"/>
          <w:szCs w:val="18"/>
        </w:rPr>
        <w:t>號</w:t>
      </w:r>
      <w:bookmarkStart w:id="6" w:name="案由"/>
      <w:r>
        <w:rPr>
          <w:rFonts w:ascii="標楷體" w:eastAsia="標楷體" w:hint="eastAsia"/>
          <w:color w:val="000000"/>
          <w:kern w:val="0"/>
          <w:sz w:val="32"/>
          <w:szCs w:val="18"/>
        </w:rPr>
        <w:t>所得稅法－營利事業所得稅</w:t>
      </w:r>
      <w:bookmarkEnd w:id="6"/>
      <w:r>
        <w:rPr>
          <w:rFonts w:ascii="標楷體" w:eastAsia="標楷體" w:hint="eastAsia"/>
          <w:color w:val="000000"/>
          <w:kern w:val="0"/>
          <w:sz w:val="32"/>
          <w:szCs w:val="18"/>
        </w:rPr>
        <w:t>行政執行事件，所查封義務人</w:t>
      </w:r>
      <w:bookmarkStart w:id="7" w:name="義務人"/>
      <w:r>
        <w:rPr>
          <w:rFonts w:ascii="標楷體" w:eastAsia="標楷體" w:hint="eastAsia"/>
          <w:color w:val="000000"/>
          <w:kern w:val="0"/>
          <w:sz w:val="32"/>
          <w:szCs w:val="18"/>
        </w:rPr>
        <w:t>立瀧國際實業有限公司</w:t>
      </w:r>
      <w:bookmarkEnd w:id="7"/>
      <w:r>
        <w:rPr>
          <w:rFonts w:ascii="標楷體" w:eastAsia="標楷體" w:hint="eastAsia"/>
          <w:color w:val="000000"/>
          <w:kern w:val="0"/>
          <w:sz w:val="32"/>
          <w:szCs w:val="18"/>
        </w:rPr>
        <w:t>所有之車輛。</w:t>
      </w:r>
    </w:p>
    <w:p w:rsidR="00ED43C6" w:rsidRDefault="00ED43C6">
      <w:pPr>
        <w:snapToGrid w:val="0"/>
        <w:spacing w:line="500" w:lineRule="exact"/>
        <w:rPr>
          <w:rFonts w:ascii="標楷體" w:eastAsia="標楷體"/>
          <w:color w:val="000000"/>
          <w:kern w:val="0"/>
          <w:sz w:val="32"/>
          <w:szCs w:val="18"/>
        </w:rPr>
      </w:pPr>
      <w:r>
        <w:rPr>
          <w:rFonts w:ascii="標楷體" w:eastAsia="標楷體" w:hint="eastAsia"/>
          <w:color w:val="000000"/>
          <w:kern w:val="0"/>
          <w:sz w:val="32"/>
          <w:szCs w:val="18"/>
        </w:rPr>
        <w:t>依據：行政執行法第26條、強制執行法第64條。</w:t>
      </w:r>
    </w:p>
    <w:p w:rsidR="00ED43C6" w:rsidRDefault="00ED43C6">
      <w:pPr>
        <w:snapToGrid w:val="0"/>
        <w:spacing w:after="200" w:line="500" w:lineRule="exact"/>
        <w:rPr>
          <w:rFonts w:ascii="標楷體" w:eastAsia="標楷體"/>
          <w:color w:val="000000"/>
          <w:kern w:val="0"/>
          <w:sz w:val="32"/>
          <w:szCs w:val="18"/>
        </w:rPr>
      </w:pPr>
      <w:r>
        <w:rPr>
          <w:rFonts w:ascii="標楷體" w:eastAsia="標楷體" w:hint="eastAsia"/>
          <w:color w:val="000000"/>
          <w:kern w:val="0"/>
          <w:sz w:val="32"/>
          <w:szCs w:val="18"/>
        </w:rPr>
        <w:t>公告事項：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拍賣標的物之種類、數量、品質，詳後列拍賣動產目錄。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拍賣之日時及場所：於民國</w:t>
      </w:r>
      <w:r w:rsidR="002D2D9A"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107</w:t>
      </w:r>
      <w:r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年</w:t>
      </w:r>
      <w:r w:rsidR="000E3084">
        <w:rPr>
          <w:rFonts w:eastAsia="標楷體" w:hint="eastAsia"/>
          <w:b/>
          <w:color w:val="000000"/>
          <w:kern w:val="0"/>
          <w:sz w:val="32"/>
          <w:szCs w:val="18"/>
          <w:u w:val="single"/>
        </w:rPr>
        <w:t>10</w:t>
      </w:r>
      <w:r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月</w:t>
      </w:r>
      <w:r w:rsidR="000E3084">
        <w:rPr>
          <w:rFonts w:eastAsia="標楷體" w:hint="eastAsia"/>
          <w:b/>
          <w:color w:val="000000"/>
          <w:kern w:val="0"/>
          <w:sz w:val="32"/>
          <w:szCs w:val="18"/>
          <w:u w:val="single"/>
        </w:rPr>
        <w:t>2</w:t>
      </w:r>
      <w:r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日</w:t>
      </w:r>
      <w:r w:rsidR="002D2D9A"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上</w:t>
      </w:r>
      <w:r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午</w:t>
      </w:r>
      <w:r w:rsidR="002D2D9A"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10</w:t>
      </w:r>
      <w:r w:rsidRPr="001F499C">
        <w:rPr>
          <w:rFonts w:eastAsia="標楷體"/>
          <w:b/>
          <w:color w:val="000000"/>
          <w:kern w:val="0"/>
          <w:sz w:val="32"/>
          <w:szCs w:val="18"/>
          <w:u w:val="single"/>
        </w:rPr>
        <w:t>時</w:t>
      </w:r>
      <w:r w:rsidRPr="001F499C">
        <w:rPr>
          <w:rFonts w:eastAsia="標楷體"/>
          <w:color w:val="000000"/>
          <w:kern w:val="0"/>
          <w:sz w:val="32"/>
          <w:szCs w:val="18"/>
        </w:rPr>
        <w:t>在</w:t>
      </w:r>
      <w:r w:rsidRPr="001F499C">
        <w:rPr>
          <w:rFonts w:eastAsia="標楷體"/>
          <w:color w:val="000000"/>
          <w:kern w:val="0"/>
          <w:sz w:val="32"/>
          <w:szCs w:val="18"/>
        </w:rPr>
        <w:t xml:space="preserve">             </w:t>
      </w:r>
      <w:r w:rsidR="002D2D9A" w:rsidRPr="001F499C">
        <w:rPr>
          <w:rFonts w:eastAsia="標楷體"/>
          <w:color w:val="000000"/>
          <w:kern w:val="0"/>
          <w:sz w:val="32"/>
          <w:szCs w:val="18"/>
        </w:rPr>
        <w:t>本分署</w:t>
      </w:r>
      <w:r w:rsidR="002D2D9A" w:rsidRPr="001F499C">
        <w:rPr>
          <w:rFonts w:eastAsia="標楷體"/>
          <w:color w:val="000000"/>
          <w:kern w:val="0"/>
          <w:sz w:val="32"/>
          <w:szCs w:val="18"/>
        </w:rPr>
        <w:t>12</w:t>
      </w:r>
      <w:r w:rsidR="002D2D9A" w:rsidRPr="001F499C">
        <w:rPr>
          <w:rFonts w:eastAsia="標楷體"/>
          <w:color w:val="000000"/>
          <w:kern w:val="0"/>
          <w:sz w:val="32"/>
          <w:szCs w:val="18"/>
        </w:rPr>
        <w:t>樓拍賣室</w:t>
      </w:r>
      <w:r w:rsidRPr="001F499C">
        <w:rPr>
          <w:rFonts w:eastAsia="標楷體"/>
          <w:color w:val="000000"/>
          <w:kern w:val="0"/>
          <w:sz w:val="32"/>
          <w:szCs w:val="18"/>
        </w:rPr>
        <w:t>拍賣。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閱覽查封筆錄之日期及處所：自公告之日起，至拍賣之前一日止，在本</w:t>
      </w:r>
      <w:r w:rsidR="00E237C6" w:rsidRPr="001F499C">
        <w:rPr>
          <w:rFonts w:eastAsia="標楷體"/>
          <w:color w:val="000000"/>
          <w:kern w:val="0"/>
          <w:sz w:val="32"/>
          <w:szCs w:val="18"/>
        </w:rPr>
        <w:t>分署</w:t>
      </w:r>
      <w:r w:rsidRPr="001F499C">
        <w:rPr>
          <w:rFonts w:eastAsia="標楷體"/>
          <w:color w:val="000000"/>
          <w:kern w:val="0"/>
          <w:sz w:val="32"/>
          <w:szCs w:val="18"/>
        </w:rPr>
        <w:t>辦理。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閱覽拍賣物之日期及處所：拍賣日時前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半</w:t>
      </w:r>
      <w:r w:rsidRPr="001F499C">
        <w:rPr>
          <w:rFonts w:eastAsia="標楷體"/>
          <w:color w:val="000000"/>
          <w:kern w:val="0"/>
          <w:sz w:val="32"/>
          <w:szCs w:val="18"/>
        </w:rPr>
        <w:t>個小時於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本分署所在之行政院聯合辦公大樓地下四樓停車場</w:t>
      </w:r>
      <w:r w:rsidRPr="001F499C">
        <w:rPr>
          <w:rFonts w:eastAsia="標楷體"/>
          <w:color w:val="000000"/>
          <w:kern w:val="0"/>
          <w:sz w:val="32"/>
          <w:szCs w:val="18"/>
        </w:rPr>
        <w:t>。</w:t>
      </w:r>
    </w:p>
    <w:p w:rsidR="003171C4" w:rsidRPr="001F499C" w:rsidRDefault="003171C4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b/>
          <w:color w:val="000000"/>
          <w:kern w:val="0"/>
          <w:sz w:val="32"/>
          <w:szCs w:val="18"/>
        </w:rPr>
      </w:pPr>
      <w:r w:rsidRPr="001F499C">
        <w:rPr>
          <w:rFonts w:eastAsia="標楷體"/>
          <w:b/>
          <w:color w:val="000000"/>
          <w:kern w:val="0"/>
          <w:sz w:val="32"/>
          <w:szCs w:val="18"/>
        </w:rPr>
        <w:t>本次拍賣不定底價，由出價最高之應買人買受。但義務人或移送機關對於該最高價認為不足而為反對之表示時，執行拍賣人即不拍定，由本分署定期再行拍賣。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交付價金之期限：拍賣時當場以現金支付。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應買人須攜帶國民身分證。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拍定人就拍賣物之瑕疵無擔保請求權。</w:t>
      </w:r>
    </w:p>
    <w:p w:rsidR="00ED43C6" w:rsidRPr="001F499C" w:rsidRDefault="00ED43C6" w:rsidP="001F499C">
      <w:pPr>
        <w:numPr>
          <w:ilvl w:val="0"/>
          <w:numId w:val="4"/>
        </w:numPr>
        <w:spacing w:line="500" w:lineRule="exact"/>
        <w:ind w:left="851" w:hanging="709"/>
        <w:jc w:val="both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依使用牌照稅法第</w:t>
      </w:r>
      <w:r w:rsidRPr="001F499C">
        <w:rPr>
          <w:rFonts w:eastAsia="標楷體"/>
          <w:color w:val="000000"/>
          <w:kern w:val="0"/>
          <w:sz w:val="32"/>
          <w:szCs w:val="18"/>
        </w:rPr>
        <w:t>12</w:t>
      </w:r>
      <w:r w:rsidRPr="001F499C">
        <w:rPr>
          <w:rFonts w:eastAsia="標楷體"/>
          <w:color w:val="000000"/>
          <w:kern w:val="0"/>
          <w:sz w:val="32"/>
          <w:szCs w:val="18"/>
        </w:rPr>
        <w:t>條第</w:t>
      </w:r>
      <w:r w:rsidRPr="001F499C">
        <w:rPr>
          <w:rFonts w:eastAsia="標楷體"/>
          <w:color w:val="000000"/>
          <w:kern w:val="0"/>
          <w:sz w:val="32"/>
          <w:szCs w:val="18"/>
        </w:rPr>
        <w:t>2</w:t>
      </w:r>
      <w:r w:rsidRPr="001F499C">
        <w:rPr>
          <w:rFonts w:eastAsia="標楷體"/>
          <w:color w:val="000000"/>
          <w:kern w:val="0"/>
          <w:sz w:val="32"/>
          <w:szCs w:val="18"/>
        </w:rPr>
        <w:t>項：「交通工具未繳清使用牌照稅及罰鍰前，不得辦理過戶登記。」，及公路法第</w:t>
      </w:r>
      <w:r w:rsidRPr="001F499C">
        <w:rPr>
          <w:rFonts w:eastAsia="標楷體"/>
          <w:color w:val="000000"/>
          <w:kern w:val="0"/>
          <w:sz w:val="32"/>
          <w:szCs w:val="18"/>
        </w:rPr>
        <w:t>75</w:t>
      </w:r>
      <w:r w:rsidRPr="001F499C">
        <w:rPr>
          <w:rFonts w:eastAsia="標楷體"/>
          <w:color w:val="000000"/>
          <w:kern w:val="0"/>
          <w:sz w:val="32"/>
          <w:szCs w:val="18"/>
        </w:rPr>
        <w:t>條、強制汽車責任保險法第</w:t>
      </w:r>
      <w:r w:rsidRPr="001F499C">
        <w:rPr>
          <w:rFonts w:eastAsia="標楷體"/>
          <w:color w:val="000000"/>
          <w:kern w:val="0"/>
          <w:sz w:val="32"/>
          <w:szCs w:val="18"/>
        </w:rPr>
        <w:t>46</w:t>
      </w:r>
      <w:r w:rsidRPr="001F499C">
        <w:rPr>
          <w:rFonts w:eastAsia="標楷體"/>
          <w:color w:val="000000"/>
          <w:kern w:val="0"/>
          <w:sz w:val="32"/>
          <w:szCs w:val="18"/>
        </w:rPr>
        <w:t>條、空氣污染防制法第</w:t>
      </w:r>
      <w:r w:rsidRPr="001F499C">
        <w:rPr>
          <w:rFonts w:eastAsia="標楷體"/>
          <w:color w:val="000000"/>
          <w:kern w:val="0"/>
          <w:sz w:val="32"/>
          <w:szCs w:val="18"/>
        </w:rPr>
        <w:t>74</w:t>
      </w:r>
      <w:r w:rsidRPr="001F499C">
        <w:rPr>
          <w:rFonts w:eastAsia="標楷體"/>
          <w:color w:val="000000"/>
          <w:kern w:val="0"/>
          <w:sz w:val="32"/>
          <w:szCs w:val="18"/>
        </w:rPr>
        <w:t>條第</w:t>
      </w:r>
      <w:r w:rsidRPr="001F499C">
        <w:rPr>
          <w:rFonts w:eastAsia="標楷體"/>
          <w:color w:val="000000"/>
          <w:kern w:val="0"/>
          <w:sz w:val="32"/>
          <w:szCs w:val="18"/>
        </w:rPr>
        <w:t>2</w:t>
      </w:r>
      <w:r w:rsidRPr="001F499C">
        <w:rPr>
          <w:rFonts w:eastAsia="標楷體"/>
          <w:color w:val="000000"/>
          <w:kern w:val="0"/>
          <w:sz w:val="32"/>
          <w:szCs w:val="18"/>
        </w:rPr>
        <w:t>項、道路交通管理處罰條例第</w:t>
      </w:r>
      <w:r w:rsidRPr="001F499C">
        <w:rPr>
          <w:rFonts w:eastAsia="標楷體"/>
          <w:color w:val="000000"/>
          <w:kern w:val="0"/>
          <w:sz w:val="32"/>
          <w:szCs w:val="18"/>
        </w:rPr>
        <w:t>9</w:t>
      </w:r>
      <w:r w:rsidRPr="001F499C">
        <w:rPr>
          <w:rFonts w:eastAsia="標楷體"/>
          <w:color w:val="000000"/>
          <w:kern w:val="0"/>
          <w:sz w:val="32"/>
          <w:szCs w:val="18"/>
        </w:rPr>
        <w:t>條之</w:t>
      </w:r>
      <w:r w:rsidRPr="001F499C">
        <w:rPr>
          <w:rFonts w:eastAsia="標楷體"/>
          <w:color w:val="000000"/>
          <w:kern w:val="0"/>
          <w:sz w:val="32"/>
          <w:szCs w:val="18"/>
        </w:rPr>
        <w:t>1</w:t>
      </w:r>
      <w:r w:rsidRPr="001F499C">
        <w:rPr>
          <w:rFonts w:eastAsia="標楷體"/>
          <w:color w:val="000000"/>
          <w:kern w:val="0"/>
          <w:sz w:val="32"/>
          <w:szCs w:val="18"/>
        </w:rPr>
        <w:t>等規定，拍定人（或</w:t>
      </w:r>
      <w:r w:rsidRPr="001F499C">
        <w:rPr>
          <w:rFonts w:eastAsia="標楷體"/>
          <w:color w:val="000000"/>
          <w:kern w:val="0"/>
          <w:sz w:val="32"/>
          <w:szCs w:val="18"/>
        </w:rPr>
        <w:lastRenderedPageBreak/>
        <w:t>承受人）須向監理機關繳清該車輛至過戶時止滯欠之相關稅費及罰鍰後，始得辦理過戶登記。</w:t>
      </w:r>
      <w:r w:rsidR="001F499C">
        <w:rPr>
          <w:rFonts w:eastAsia="標楷體" w:hint="eastAsia"/>
          <w:color w:val="000000"/>
          <w:kern w:val="0"/>
          <w:sz w:val="32"/>
          <w:szCs w:val="18"/>
        </w:rPr>
        <w:t>（</w:t>
      </w:r>
      <w:r w:rsidRPr="001F499C">
        <w:rPr>
          <w:rFonts w:eastAsia="標楷體"/>
          <w:color w:val="000000"/>
          <w:kern w:val="0"/>
          <w:sz w:val="32"/>
          <w:szCs w:val="18"/>
        </w:rPr>
        <w:t>據監理機關及稅捐機關通知，該車輛截至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107</w:t>
      </w:r>
      <w:r w:rsidRPr="001F499C">
        <w:rPr>
          <w:rFonts w:eastAsia="標楷體"/>
          <w:color w:val="000000"/>
          <w:kern w:val="0"/>
          <w:sz w:val="32"/>
          <w:szCs w:val="18"/>
        </w:rPr>
        <w:t>年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8</w:t>
      </w:r>
      <w:r w:rsidRPr="001F499C">
        <w:rPr>
          <w:rFonts w:eastAsia="標楷體"/>
          <w:color w:val="000000"/>
          <w:kern w:val="0"/>
          <w:sz w:val="32"/>
          <w:szCs w:val="18"/>
        </w:rPr>
        <w:t>月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29</w:t>
      </w:r>
      <w:r w:rsidRPr="001F499C">
        <w:rPr>
          <w:rFonts w:eastAsia="標楷體"/>
          <w:color w:val="000000"/>
          <w:kern w:val="0"/>
          <w:sz w:val="32"/>
          <w:szCs w:val="18"/>
        </w:rPr>
        <w:t>日止滯欠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使用牌照稅總金額為新台幣（下同）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4,783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元；截至同年月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26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日止滯欠汽車燃料使用費總金額為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2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萬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5,120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元、違反汽車燃料使用罰鍰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6,000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元、違反強制責任險違規罰鍰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2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萬元；截至同年月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28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日止滯欠交通違規罰鍰總金額為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6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萬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8,500</w:t>
      </w:r>
      <w:r w:rsidR="003171C4" w:rsidRPr="001F499C">
        <w:rPr>
          <w:rFonts w:eastAsia="標楷體"/>
          <w:color w:val="000000"/>
          <w:kern w:val="0"/>
          <w:sz w:val="32"/>
          <w:szCs w:val="18"/>
        </w:rPr>
        <w:t>元。</w:t>
      </w:r>
      <w:r w:rsidRPr="001F499C">
        <w:rPr>
          <w:rFonts w:eastAsia="標楷體"/>
          <w:color w:val="000000"/>
          <w:kern w:val="0"/>
          <w:sz w:val="32"/>
          <w:szCs w:val="18"/>
        </w:rPr>
        <w:t>自</w:t>
      </w:r>
      <w:r w:rsidR="001F499C" w:rsidRPr="001F499C">
        <w:rPr>
          <w:rFonts w:eastAsia="標楷體"/>
          <w:color w:val="000000"/>
          <w:kern w:val="0"/>
          <w:sz w:val="32"/>
          <w:szCs w:val="18"/>
        </w:rPr>
        <w:t>前開各期日</w:t>
      </w:r>
      <w:r w:rsidRPr="001F499C">
        <w:rPr>
          <w:rFonts w:eastAsia="標楷體"/>
          <w:color w:val="000000"/>
          <w:kern w:val="0"/>
          <w:sz w:val="32"/>
          <w:szCs w:val="18"/>
        </w:rPr>
        <w:t>起至過戶日止如尚有新欠之稅費及罰鍰，拍定人（或承受人）應逕向監理機關查詢繳清。</w:t>
      </w:r>
      <w:r w:rsidR="001F499C">
        <w:rPr>
          <w:rFonts w:eastAsia="標楷體" w:hint="eastAsia"/>
          <w:color w:val="000000"/>
          <w:kern w:val="0"/>
          <w:sz w:val="32"/>
          <w:szCs w:val="18"/>
        </w:rPr>
        <w:t>）</w:t>
      </w:r>
    </w:p>
    <w:p w:rsidR="001F499C" w:rsidRPr="001F499C" w:rsidRDefault="001F499C" w:rsidP="001F499C">
      <w:pPr>
        <w:numPr>
          <w:ilvl w:val="0"/>
          <w:numId w:val="4"/>
        </w:numPr>
        <w:tabs>
          <w:tab w:val="left" w:pos="360"/>
        </w:tabs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kern w:val="0"/>
          <w:sz w:val="32"/>
          <w:szCs w:val="18"/>
        </w:rPr>
        <w:t>拍賣日如遇颱風、地震等不可抗力之天然災變致公布放假者，經新北市政府宣布各機關停止上班，即停止拍賣程序，並改期拍賣。</w:t>
      </w:r>
    </w:p>
    <w:p w:rsidR="00ED43C6" w:rsidRPr="001F499C" w:rsidRDefault="00ED43C6" w:rsidP="001F499C">
      <w:pPr>
        <w:numPr>
          <w:ilvl w:val="0"/>
          <w:numId w:val="4"/>
        </w:numPr>
        <w:tabs>
          <w:tab w:val="left" w:pos="360"/>
        </w:tabs>
        <w:spacing w:line="500" w:lineRule="exact"/>
        <w:ind w:left="851" w:hanging="709"/>
        <w:rPr>
          <w:rFonts w:eastAsia="標楷體"/>
          <w:color w:val="000000"/>
          <w:kern w:val="0"/>
          <w:sz w:val="32"/>
          <w:szCs w:val="18"/>
        </w:rPr>
      </w:pPr>
      <w:r w:rsidRPr="001F499C">
        <w:rPr>
          <w:rFonts w:eastAsia="標楷體"/>
          <w:color w:val="000000"/>
          <w:sz w:val="32"/>
        </w:rPr>
        <w:t>承辦人及電話：</w:t>
      </w:r>
      <w:bookmarkStart w:id="8" w:name="承辦人及電話"/>
      <w:r w:rsidRPr="001F499C">
        <w:rPr>
          <w:rFonts w:eastAsia="標楷體"/>
          <w:color w:val="000000"/>
          <w:sz w:val="32"/>
        </w:rPr>
        <w:t>黃閔新</w:t>
      </w:r>
      <w:r w:rsidRPr="001F499C">
        <w:rPr>
          <w:rFonts w:eastAsia="標楷體"/>
          <w:color w:val="000000"/>
          <w:sz w:val="32"/>
        </w:rPr>
        <w:t>(02)89956888</w:t>
      </w:r>
      <w:r w:rsidRPr="001F499C">
        <w:rPr>
          <w:rFonts w:eastAsia="標楷體"/>
          <w:color w:val="000000"/>
          <w:sz w:val="32"/>
        </w:rPr>
        <w:t>轉</w:t>
      </w:r>
      <w:r w:rsidRPr="001F499C">
        <w:rPr>
          <w:rFonts w:eastAsia="標楷體"/>
          <w:color w:val="000000"/>
          <w:sz w:val="32"/>
        </w:rPr>
        <w:t>355</w:t>
      </w:r>
      <w:r w:rsidRPr="001F499C">
        <w:rPr>
          <w:rFonts w:eastAsia="標楷體"/>
          <w:color w:val="000000"/>
          <w:sz w:val="32"/>
        </w:rPr>
        <w:t>或</w:t>
      </w:r>
      <w:r w:rsidRPr="001F499C">
        <w:rPr>
          <w:rFonts w:eastAsia="標楷體"/>
          <w:color w:val="000000"/>
          <w:sz w:val="32"/>
        </w:rPr>
        <w:t>356</w:t>
      </w:r>
      <w:bookmarkEnd w:id="8"/>
      <w:r w:rsidRPr="001F499C">
        <w:rPr>
          <w:rFonts w:eastAsia="標楷體"/>
          <w:color w:val="000000"/>
          <w:sz w:val="32"/>
        </w:rPr>
        <w:t>。</w:t>
      </w:r>
    </w:p>
    <w:p w:rsidR="00ED43C6" w:rsidRDefault="00ED43C6">
      <w:pPr>
        <w:tabs>
          <w:tab w:val="left" w:pos="360"/>
        </w:tabs>
        <w:spacing w:line="500" w:lineRule="exact"/>
        <w:ind w:firstLineChars="100" w:firstLine="320"/>
        <w:rPr>
          <w:rFonts w:ascii="標楷體" w:eastAsia="標楷體"/>
          <w:color w:val="000000"/>
          <w:kern w:val="0"/>
          <w:sz w:val="32"/>
          <w:szCs w:val="18"/>
        </w:rPr>
      </w:pPr>
    </w:p>
    <w:p w:rsidR="00ED43C6" w:rsidRDefault="00ED43C6">
      <w:pPr>
        <w:tabs>
          <w:tab w:val="left" w:pos="360"/>
        </w:tabs>
        <w:spacing w:line="500" w:lineRule="exact"/>
        <w:rPr>
          <w:rFonts w:ascii="標楷體" w:eastAsia="標楷體"/>
          <w:color w:val="000000"/>
          <w:kern w:val="0"/>
          <w:sz w:val="32"/>
          <w:szCs w:val="18"/>
        </w:rPr>
      </w:pPr>
      <w:r>
        <w:rPr>
          <w:rFonts w:ascii="標楷體" w:eastAsia="標楷體" w:hint="eastAsia"/>
          <w:color w:val="000000"/>
          <w:kern w:val="0"/>
          <w:sz w:val="32"/>
          <w:szCs w:val="18"/>
        </w:rPr>
        <w:t>動產目錄：</w:t>
      </w:r>
    </w:p>
    <w:tbl>
      <w:tblPr>
        <w:tblW w:w="93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2410"/>
        <w:gridCol w:w="3203"/>
        <w:gridCol w:w="3000"/>
      </w:tblGrid>
      <w:tr w:rsidR="00ED43C6" w:rsidTr="008570BB">
        <w:trPr>
          <w:trHeight w:val="540"/>
        </w:trPr>
        <w:tc>
          <w:tcPr>
            <w:tcW w:w="747" w:type="dxa"/>
            <w:vAlign w:val="center"/>
          </w:tcPr>
          <w:p w:rsidR="00ED43C6" w:rsidRPr="006662ED" w:rsidRDefault="00ED43C6" w:rsidP="006662ED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662ED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410" w:type="dxa"/>
            <w:vAlign w:val="center"/>
          </w:tcPr>
          <w:p w:rsidR="00ED43C6" w:rsidRPr="001E2EDC" w:rsidRDefault="00ED43C6" w:rsidP="006662ED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/>
                <w:color w:val="000000" w:themeColor="text1"/>
                <w:sz w:val="28"/>
                <w:szCs w:val="28"/>
              </w:rPr>
              <w:t>物品名稱</w:t>
            </w:r>
          </w:p>
        </w:tc>
        <w:tc>
          <w:tcPr>
            <w:tcW w:w="3203" w:type="dxa"/>
            <w:vAlign w:val="center"/>
          </w:tcPr>
          <w:p w:rsidR="00ED43C6" w:rsidRPr="001E2EDC" w:rsidRDefault="008570BB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牌照號碼</w:t>
            </w:r>
            <w:r w:rsidRPr="001E2EDC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廠牌</w:t>
            </w:r>
            <w:r w:rsidRPr="001E2EDC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顏色</w:t>
            </w:r>
            <w:r w:rsidRPr="001E2EDC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出廠年月</w:t>
            </w:r>
            <w:r w:rsidRPr="001E2EDC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排氣量</w:t>
            </w:r>
          </w:p>
        </w:tc>
        <w:tc>
          <w:tcPr>
            <w:tcW w:w="3000" w:type="dxa"/>
            <w:vAlign w:val="center"/>
          </w:tcPr>
          <w:p w:rsidR="00ED43C6" w:rsidRPr="006662ED" w:rsidRDefault="00ED43C6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662ED">
              <w:rPr>
                <w:rFonts w:eastAsia="標楷體"/>
                <w:color w:val="000000"/>
                <w:sz w:val="28"/>
                <w:szCs w:val="28"/>
              </w:rPr>
              <w:t>備</w:t>
            </w:r>
            <w:r w:rsidRPr="006662ED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Pr="006662ED">
              <w:rPr>
                <w:rFonts w:eastAsia="標楷體"/>
                <w:color w:val="000000"/>
                <w:sz w:val="28"/>
                <w:szCs w:val="28"/>
              </w:rPr>
              <w:t>註</w:t>
            </w:r>
          </w:p>
        </w:tc>
      </w:tr>
      <w:tr w:rsidR="00ED43C6" w:rsidTr="008570BB">
        <w:trPr>
          <w:trHeight w:val="714"/>
        </w:trPr>
        <w:tc>
          <w:tcPr>
            <w:tcW w:w="747" w:type="dxa"/>
            <w:vAlign w:val="center"/>
          </w:tcPr>
          <w:p w:rsidR="00ED43C6" w:rsidRPr="006662ED" w:rsidRDefault="001F499C" w:rsidP="006662E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662E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ED43C6" w:rsidRPr="001E2EDC" w:rsidRDefault="001F499C" w:rsidP="006662ED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/>
                <w:color w:val="000000" w:themeColor="text1"/>
                <w:sz w:val="28"/>
                <w:szCs w:val="28"/>
              </w:rPr>
              <w:t>自用小客貨車</w:t>
            </w:r>
            <w:r w:rsidRPr="001E2ED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1E2EDC">
              <w:rPr>
                <w:rFonts w:eastAsia="標楷體"/>
                <w:color w:val="000000" w:themeColor="text1"/>
                <w:sz w:val="28"/>
                <w:szCs w:val="28"/>
              </w:rPr>
              <w:t>輛</w:t>
            </w:r>
          </w:p>
        </w:tc>
        <w:tc>
          <w:tcPr>
            <w:tcW w:w="3203" w:type="dxa"/>
          </w:tcPr>
          <w:p w:rsidR="008570BB" w:rsidRPr="001E2EDC" w:rsidRDefault="008570B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牌照號碼：</w:t>
            </w: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0992-A2</w:t>
            </w:r>
          </w:p>
          <w:p w:rsidR="008570BB" w:rsidRPr="001E2EDC" w:rsidRDefault="008570B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廠牌：國瑞</w:t>
            </w:r>
          </w:p>
          <w:p w:rsidR="008570BB" w:rsidRPr="001E2EDC" w:rsidRDefault="008570B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顏色：淺棕</w:t>
            </w:r>
          </w:p>
          <w:p w:rsidR="008570BB" w:rsidRPr="001E2EDC" w:rsidRDefault="008570B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出廠年月：</w:t>
            </w:r>
            <w:r w:rsidR="006B3A09">
              <w:rPr>
                <w:rFonts w:eastAsia="標楷體" w:hint="eastAsia"/>
                <w:color w:val="000000" w:themeColor="text1"/>
                <w:sz w:val="28"/>
                <w:szCs w:val="28"/>
              </w:rPr>
              <w:t>2010.05</w:t>
            </w:r>
          </w:p>
          <w:p w:rsidR="00ED43C6" w:rsidRDefault="008570B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E2EDC">
              <w:rPr>
                <w:rFonts w:eastAsia="標楷體" w:hint="eastAsia"/>
                <w:color w:val="000000" w:themeColor="text1"/>
                <w:sz w:val="28"/>
                <w:szCs w:val="28"/>
              </w:rPr>
              <w:t>排氣量：</w:t>
            </w:r>
            <w:r w:rsidR="006B3A09">
              <w:rPr>
                <w:rFonts w:eastAsia="標楷體" w:hint="eastAsia"/>
                <w:color w:val="000000" w:themeColor="text1"/>
                <w:sz w:val="28"/>
                <w:szCs w:val="28"/>
              </w:rPr>
              <w:t>2694</w:t>
            </w:r>
          </w:p>
          <w:p w:rsidR="006B3A09" w:rsidRPr="001E2EDC" w:rsidRDefault="006B3A09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引擎號碼：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2TR6899476</w:t>
            </w:r>
          </w:p>
        </w:tc>
        <w:tc>
          <w:tcPr>
            <w:tcW w:w="3000" w:type="dxa"/>
          </w:tcPr>
          <w:p w:rsidR="00ED43C6" w:rsidRPr="006662ED" w:rsidRDefault="00ED43C6">
            <w:pPr>
              <w:rPr>
                <w:rFonts w:eastAsia="標楷體"/>
                <w:color w:val="0000FF"/>
                <w:sz w:val="28"/>
                <w:szCs w:val="28"/>
              </w:rPr>
            </w:pPr>
          </w:p>
        </w:tc>
      </w:tr>
    </w:tbl>
    <w:p w:rsidR="00BC5BB5" w:rsidRDefault="00BC5BB5">
      <w:pPr>
        <w:tabs>
          <w:tab w:val="left" w:pos="360"/>
        </w:tabs>
        <w:spacing w:line="500" w:lineRule="exact"/>
        <w:rPr>
          <w:rFonts w:ascii="標楷體" w:eastAsia="標楷體"/>
          <w:color w:val="000000"/>
          <w:kern w:val="0"/>
          <w:sz w:val="32"/>
          <w:szCs w:val="18"/>
        </w:rPr>
      </w:pPr>
    </w:p>
    <w:p w:rsidR="00BC5BB5" w:rsidRDefault="00BC5BB5">
      <w:pPr>
        <w:widowControl/>
        <w:rPr>
          <w:rFonts w:ascii="標楷體" w:eastAsia="標楷體"/>
          <w:color w:val="000000"/>
          <w:kern w:val="0"/>
          <w:sz w:val="32"/>
          <w:szCs w:val="18"/>
        </w:rPr>
      </w:pPr>
      <w:r>
        <w:rPr>
          <w:rFonts w:ascii="標楷體" w:eastAsia="標楷體"/>
          <w:color w:val="000000"/>
          <w:kern w:val="0"/>
          <w:sz w:val="32"/>
          <w:szCs w:val="18"/>
        </w:rPr>
        <w:br w:type="page"/>
      </w:r>
    </w:p>
    <w:p w:rsidR="00ED43C6" w:rsidRDefault="00AC626A">
      <w:pPr>
        <w:tabs>
          <w:tab w:val="left" w:pos="360"/>
        </w:tabs>
        <w:spacing w:line="500" w:lineRule="exact"/>
        <w:rPr>
          <w:rFonts w:ascii="標楷體" w:eastAsia="標楷體"/>
          <w:color w:val="000000"/>
          <w:kern w:val="0"/>
          <w:sz w:val="32"/>
          <w:szCs w:val="18"/>
        </w:rPr>
      </w:pPr>
      <w:bookmarkStart w:id="9" w:name="_GoBack"/>
      <w:bookmarkEnd w:id="9"/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4B3290C2" wp14:editId="6DE84455">
            <wp:simplePos x="0" y="0"/>
            <wp:positionH relativeFrom="column">
              <wp:posOffset>635</wp:posOffset>
            </wp:positionH>
            <wp:positionV relativeFrom="topMargin">
              <wp:posOffset>909320</wp:posOffset>
            </wp:positionV>
            <wp:extent cx="5762625" cy="5124450"/>
            <wp:effectExtent l="0" t="0" r="952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仁股1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95" b="24856"/>
                    <a:stretch/>
                  </pic:blipFill>
                  <pic:spPr bwMode="auto">
                    <a:xfrm>
                      <a:off x="0" y="0"/>
                      <a:ext cx="5762625" cy="512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740">
        <w:rPr>
          <w:rFonts w:ascii="標楷體" w:eastAsia="標楷體"/>
          <w:noProof/>
          <w:color w:val="000000"/>
          <w:kern w:val="0"/>
          <w:sz w:val="32"/>
          <w:szCs w:val="18"/>
        </w:rPr>
        <w:drawing>
          <wp:anchor distT="0" distB="0" distL="114300" distR="114300" simplePos="0" relativeHeight="251659776" behindDoc="0" locked="0" layoutInCell="1" allowOverlap="1" wp14:anchorId="2DDAF4D4" wp14:editId="43EF378A">
            <wp:simplePos x="0" y="0"/>
            <wp:positionH relativeFrom="column">
              <wp:posOffset>635</wp:posOffset>
            </wp:positionH>
            <wp:positionV relativeFrom="page">
              <wp:posOffset>6545580</wp:posOffset>
            </wp:positionV>
            <wp:extent cx="5759450" cy="3239770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仁股1-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43C6">
      <w:footerReference w:type="default" r:id="rId12"/>
      <w:pgSz w:w="11907" w:h="16840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62" w:rsidRDefault="00916C62">
      <w:r>
        <w:separator/>
      </w:r>
    </w:p>
  </w:endnote>
  <w:endnote w:type="continuationSeparator" w:id="0">
    <w:p w:rsidR="00916C62" w:rsidRDefault="0091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C6" w:rsidRDefault="00ED43C6">
    <w:pPr>
      <w:pStyle w:val="a4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C626A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C626A">
      <w:rPr>
        <w:noProof/>
        <w:kern w:val="0"/>
      </w:rPr>
      <w:t>3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62" w:rsidRDefault="00916C62">
      <w:r>
        <w:separator/>
      </w:r>
    </w:p>
  </w:footnote>
  <w:footnote w:type="continuationSeparator" w:id="0">
    <w:p w:rsidR="00916C62" w:rsidRDefault="0091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25D4B"/>
    <w:multiLevelType w:val="hybridMultilevel"/>
    <w:tmpl w:val="87E272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6B65A99"/>
    <w:multiLevelType w:val="hybridMultilevel"/>
    <w:tmpl w:val="E31E76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E663EDE"/>
    <w:multiLevelType w:val="hybridMultilevel"/>
    <w:tmpl w:val="3DC2C986"/>
    <w:lvl w:ilvl="0" w:tplc="04090001">
      <w:start w:val="1"/>
      <w:numFmt w:val="bullet"/>
      <w:lvlText w:val=""/>
      <w:lvlJc w:val="left"/>
      <w:pPr>
        <w:tabs>
          <w:tab w:val="num" w:pos="580"/>
        </w:tabs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3">
    <w:nsid w:val="6A7F5E7B"/>
    <w:multiLevelType w:val="hybridMultilevel"/>
    <w:tmpl w:val="C7CEAA26"/>
    <w:lvl w:ilvl="0" w:tplc="AEF8F1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98"/>
    <w:rsid w:val="00062A18"/>
    <w:rsid w:val="000E3084"/>
    <w:rsid w:val="001E2EDC"/>
    <w:rsid w:val="001F499C"/>
    <w:rsid w:val="002D2D9A"/>
    <w:rsid w:val="002F0E15"/>
    <w:rsid w:val="003171C4"/>
    <w:rsid w:val="003F5354"/>
    <w:rsid w:val="00434F7E"/>
    <w:rsid w:val="004A0809"/>
    <w:rsid w:val="005A2CFB"/>
    <w:rsid w:val="005A4DEA"/>
    <w:rsid w:val="005D5303"/>
    <w:rsid w:val="005F1A18"/>
    <w:rsid w:val="006662ED"/>
    <w:rsid w:val="0068053E"/>
    <w:rsid w:val="006B3A09"/>
    <w:rsid w:val="007B2370"/>
    <w:rsid w:val="007C6DE5"/>
    <w:rsid w:val="00841698"/>
    <w:rsid w:val="008570BB"/>
    <w:rsid w:val="00916C62"/>
    <w:rsid w:val="00932740"/>
    <w:rsid w:val="00AC626A"/>
    <w:rsid w:val="00AF304B"/>
    <w:rsid w:val="00B84371"/>
    <w:rsid w:val="00BC5BB5"/>
    <w:rsid w:val="00CE6AE0"/>
    <w:rsid w:val="00D43B1B"/>
    <w:rsid w:val="00E06553"/>
    <w:rsid w:val="00E237C6"/>
    <w:rsid w:val="00ED43C6"/>
    <w:rsid w:val="00EF7B92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68053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68053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行政執行例稿二二一（動產拍賣公告）  參考法條：強制執行法第六十條、第六十四條</dc:title>
  <dc:creator>IBM</dc:creator>
  <cp:lastModifiedBy>王金豐</cp:lastModifiedBy>
  <cp:revision>3</cp:revision>
  <cp:lastPrinted>2018-09-28T09:58:00Z</cp:lastPrinted>
  <dcterms:created xsi:type="dcterms:W3CDTF">2018-09-28T10:02:00Z</dcterms:created>
  <dcterms:modified xsi:type="dcterms:W3CDTF">2018-10-01T01:46:00Z</dcterms:modified>
</cp:coreProperties>
</file>